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none"/>
        </w:rPr>
      </w:pPr>
      <w:r>
        <w:rPr>
          <w:rFonts w:hint="eastAsia"/>
          <w:b/>
          <w:sz w:val="44"/>
          <w:szCs w:val="44"/>
          <w:u w:val="none"/>
        </w:rPr>
        <w:t>福州大学公车管理“1+X”工作细则</w:t>
      </w:r>
    </w:p>
    <w:p>
      <w:pPr>
        <w:rPr>
          <w:rFonts w:hint="eastAsia"/>
          <w:u w:val="none"/>
        </w:rPr>
      </w:pPr>
    </w:p>
    <w:p>
      <w:pPr>
        <w:ind w:firstLine="640" w:firstLineChars="200"/>
        <w:rPr>
          <w:rFonts w:hint="eastAsia"/>
          <w:u w:val="none"/>
        </w:rPr>
      </w:pPr>
      <w:r>
        <w:rPr>
          <w:rFonts w:hint="eastAsia"/>
          <w:u w:val="none"/>
        </w:rPr>
        <w:t>公车管理“1+X”专项督查，“1”指校纪委对学校公车管理职能部门履行落实中央八项规定精神职责情况的督查；“X”指</w:t>
      </w:r>
      <w:r>
        <w:rPr>
          <w:u w:val="none"/>
        </w:rPr>
        <w:t>实验室建设与设备管理处</w:t>
      </w:r>
      <w:r>
        <w:rPr>
          <w:rFonts w:hint="eastAsia"/>
          <w:u w:val="none"/>
        </w:rPr>
        <w:t>根据职能作用和管理权限，在职责范围内规范和加强公车管理与使用，对公车使用单位和部门落实中央八项规定精神情况进行督查。</w:t>
      </w:r>
    </w:p>
    <w:p>
      <w:pPr>
        <w:numPr>
          <w:ilvl w:val="0"/>
          <w:numId w:val="1"/>
        </w:numPr>
        <w:rPr>
          <w:rFonts w:hint="eastAsia" w:ascii="黑体" w:eastAsia="黑体"/>
          <w:u w:val="none"/>
        </w:rPr>
      </w:pPr>
      <w:r>
        <w:rPr>
          <w:rFonts w:hint="eastAsia" w:ascii="黑体" w:eastAsia="黑体"/>
          <w:u w:val="none"/>
        </w:rPr>
        <w:t>工作职责</w:t>
      </w:r>
    </w:p>
    <w:p>
      <w:pPr>
        <w:ind w:firstLine="640" w:firstLineChars="200"/>
        <w:rPr>
          <w:rFonts w:hint="eastAsia"/>
          <w:u w:val="none"/>
        </w:rPr>
      </w:pPr>
      <w:r>
        <w:rPr>
          <w:rFonts w:hint="eastAsia"/>
          <w:u w:val="none"/>
        </w:rPr>
        <w:t>依据《党政机关厉行节约反对浪费条例》和《福州大学公务车辆管理办法》等规定，</w:t>
      </w:r>
      <w:r>
        <w:rPr>
          <w:u w:val="none"/>
        </w:rPr>
        <w:t>实验室建设与设备管理处</w:t>
      </w:r>
      <w:r>
        <w:rPr>
          <w:rFonts w:hint="eastAsia"/>
          <w:u w:val="none"/>
        </w:rPr>
        <w:t>通过对学校公车日常和重点时节管理与使用的监督检查，公车配备必须有上级部门批准和核准手续。重点检查发现违规配备、使用、管理公车等问题，每学期末向校纪委报告督查落实情况；及时将发现问题移交校纪委；完善细化相关配套制度。</w:t>
      </w:r>
    </w:p>
    <w:p>
      <w:pPr>
        <w:numPr>
          <w:ilvl w:val="0"/>
          <w:numId w:val="1"/>
        </w:numPr>
        <w:rPr>
          <w:rFonts w:hint="eastAsia" w:ascii="黑体" w:eastAsia="黑体"/>
          <w:u w:val="none"/>
        </w:rPr>
      </w:pPr>
      <w:r>
        <w:rPr>
          <w:rFonts w:hint="eastAsia" w:ascii="黑体" w:eastAsia="黑体"/>
          <w:u w:val="none"/>
        </w:rPr>
        <w:t>工作内容</w:t>
      </w:r>
      <w:bookmarkStart w:id="0" w:name="_GoBack"/>
      <w:bookmarkEnd w:id="0"/>
    </w:p>
    <w:p>
      <w:pPr>
        <w:ind w:firstLine="640" w:firstLineChars="200"/>
        <w:rPr>
          <w:rFonts w:hint="eastAsia"/>
          <w:u w:val="none"/>
        </w:rPr>
      </w:pPr>
      <w:r>
        <w:rPr>
          <w:u w:val="none"/>
        </w:rPr>
        <w:t>实验室建设与设备管理处</w:t>
      </w:r>
      <w:r>
        <w:rPr>
          <w:rFonts w:hint="eastAsia"/>
          <w:u w:val="none"/>
        </w:rPr>
        <w:t>要完善公车台帐管理，建立健全日常和重点时节的监督检查机制，加强对公车使用部门落实中央八项规定精神进行监督。</w:t>
      </w:r>
    </w:p>
    <w:p>
      <w:pPr>
        <w:numPr>
          <w:ilvl w:val="0"/>
          <w:numId w:val="2"/>
        </w:numPr>
        <w:ind w:left="0" w:firstLine="640" w:firstLineChars="200"/>
        <w:rPr>
          <w:rFonts w:hint="eastAsia"/>
          <w:u w:val="none"/>
        </w:rPr>
      </w:pPr>
      <w:r>
        <w:rPr>
          <w:rFonts w:hint="eastAsia"/>
          <w:u w:val="none"/>
        </w:rPr>
        <w:t>公车使用部门必须做好每次公车使用的出发地、过路费、停车费、目的地、公里数等用车记录，存档备查；公车使用部门必须做好月末、</w:t>
      </w:r>
      <w:r>
        <w:rPr>
          <w:rFonts w:hint="eastAsia"/>
          <w:u w:val="none"/>
          <w:lang w:eastAsia="zh-CN"/>
        </w:rPr>
        <w:t>季末、</w:t>
      </w:r>
      <w:r>
        <w:rPr>
          <w:rFonts w:hint="eastAsia"/>
          <w:u w:val="none"/>
        </w:rPr>
        <w:t>年末、节前和节后每台车辆的总公里数、总用油数及总维修数台账，每月末在本单位公示每辆公车的用车信息，加强群众监督，同时报</w:t>
      </w:r>
      <w:r>
        <w:rPr>
          <w:u w:val="none"/>
        </w:rPr>
        <w:t>实验室建设与设备管理处</w:t>
      </w:r>
      <w:r>
        <w:rPr>
          <w:rFonts w:hint="eastAsia"/>
          <w:u w:val="none"/>
        </w:rPr>
        <w:t>备案。</w:t>
      </w:r>
      <w:r>
        <w:rPr>
          <w:u w:val="none"/>
        </w:rPr>
        <w:t>实验室建设与设备管理处</w:t>
      </w:r>
      <w:r>
        <w:rPr>
          <w:rFonts w:hint="eastAsia"/>
          <w:u w:val="none"/>
        </w:rPr>
        <w:t>对车辆的使用情况进行全面的数据统计，重点查找用油浪费和公车私用等问题。</w:t>
      </w:r>
    </w:p>
    <w:p>
      <w:pPr>
        <w:numPr>
          <w:ilvl w:val="0"/>
          <w:numId w:val="2"/>
        </w:numPr>
        <w:ind w:left="0" w:firstLine="640" w:firstLineChars="200"/>
        <w:rPr>
          <w:rFonts w:hint="eastAsia"/>
          <w:u w:val="none"/>
        </w:rPr>
      </w:pPr>
      <w:r>
        <w:rPr>
          <w:rFonts w:hint="eastAsia"/>
          <w:u w:val="none"/>
        </w:rPr>
        <w:t>公车使用部门严格派车使用审批制度，使用公车前需填写《</w:t>
      </w:r>
      <w:r>
        <w:fldChar w:fldCharType="begin"/>
      </w:r>
      <w:r>
        <w:instrText xml:space="preserve"> HYPERLINK "http://sbc.fzu.edu.cn/wdxz/福州大学公务用车派车单.doc" \t "_blank" </w:instrText>
      </w:r>
      <w:r>
        <w:fldChar w:fldCharType="separate"/>
      </w:r>
      <w:r>
        <w:rPr>
          <w:sz w:val="30"/>
          <w:szCs w:val="30"/>
          <w:u w:val="none"/>
        </w:rPr>
        <w:t>福州大学公务用车派车单</w:t>
      </w:r>
      <w:r>
        <w:rPr>
          <w:sz w:val="30"/>
          <w:szCs w:val="30"/>
          <w:u w:val="none"/>
        </w:rPr>
        <w:fldChar w:fldCharType="end"/>
      </w:r>
      <w:r>
        <w:rPr>
          <w:rFonts w:hint="eastAsia"/>
          <w:u w:val="none"/>
        </w:rPr>
        <w:t>》，经部门领导签批才同意派车，科研使用的须经项目负责人签批同意；派车审批手续要存档备查；</w:t>
      </w:r>
      <w:r>
        <w:rPr>
          <w:u w:val="none"/>
        </w:rPr>
        <w:t>实验室建设与设备管理处</w:t>
      </w:r>
      <w:r>
        <w:rPr>
          <w:rFonts w:hint="eastAsia"/>
          <w:u w:val="none"/>
        </w:rPr>
        <w:t>定期或不定期检查派车审批手续材料，重点发现违规私自用车等问题。</w:t>
      </w:r>
    </w:p>
    <w:p>
      <w:pPr>
        <w:numPr>
          <w:ilvl w:val="0"/>
          <w:numId w:val="2"/>
        </w:numPr>
        <w:ind w:left="0" w:firstLine="640" w:firstLineChars="200"/>
        <w:rPr>
          <w:rFonts w:hint="eastAsia"/>
          <w:u w:val="none"/>
        </w:rPr>
      </w:pPr>
      <w:r>
        <w:rPr>
          <w:rFonts w:hint="eastAsia"/>
          <w:u w:val="none"/>
        </w:rPr>
        <w:t>公车使用部门要按学校指定的车辆维修企业定点维修车辆，按学校指定的加油站点加油，严把车辆维修和加油经费使用关，严格控制车辆维护经费使用的总额；</w:t>
      </w:r>
      <w:r>
        <w:rPr>
          <w:u w:val="none"/>
        </w:rPr>
        <w:t>实验室建设与设备管理处</w:t>
      </w:r>
      <w:r>
        <w:rPr>
          <w:rFonts w:hint="eastAsia"/>
          <w:u w:val="none"/>
        </w:rPr>
        <w:t>定期或不定期检查维修、加油经费使用情况，重点发现非定点维修加油和车辆维护经费使用异常等问题</w:t>
      </w:r>
    </w:p>
    <w:p>
      <w:pPr>
        <w:numPr>
          <w:ilvl w:val="0"/>
          <w:numId w:val="2"/>
        </w:numPr>
        <w:ind w:left="0" w:firstLine="640" w:firstLineChars="200"/>
        <w:rPr>
          <w:rFonts w:hint="eastAsia"/>
          <w:u w:val="none"/>
        </w:rPr>
      </w:pPr>
      <w:r>
        <w:rPr>
          <w:rFonts w:hint="eastAsia"/>
          <w:u w:val="none"/>
        </w:rPr>
        <w:t>公车使用部门必须做到公车定点停放，加强管理。</w:t>
      </w:r>
      <w:r>
        <w:rPr>
          <w:u w:val="none"/>
        </w:rPr>
        <w:t>实验室建设与设备管理处</w:t>
      </w:r>
      <w:r>
        <w:rPr>
          <w:rFonts w:hint="eastAsia"/>
          <w:u w:val="none"/>
        </w:rPr>
        <w:t>定期或不定期检查公车定点停放情况，重点发现重要时节公车违规停放和公车私用等问题。</w:t>
      </w:r>
    </w:p>
    <w:p>
      <w:pPr>
        <w:numPr>
          <w:ilvl w:val="0"/>
          <w:numId w:val="1"/>
        </w:numPr>
        <w:rPr>
          <w:rFonts w:hint="eastAsia" w:ascii="黑体" w:eastAsia="黑体"/>
          <w:u w:val="none"/>
        </w:rPr>
      </w:pPr>
      <w:r>
        <w:rPr>
          <w:rFonts w:hint="eastAsia" w:ascii="黑体" w:eastAsia="黑体"/>
          <w:u w:val="none"/>
        </w:rPr>
        <w:t>工作要求</w:t>
      </w:r>
    </w:p>
    <w:p>
      <w:pPr>
        <w:ind w:firstLine="640" w:firstLineChars="200"/>
        <w:rPr>
          <w:rFonts w:hint="eastAsia"/>
          <w:u w:val="none"/>
        </w:rPr>
      </w:pPr>
      <w:r>
        <w:rPr>
          <w:rFonts w:hint="eastAsia"/>
          <w:u w:val="none"/>
        </w:rPr>
        <w:t>1.  突出两个责任。</w:t>
      </w:r>
      <w:r>
        <w:rPr>
          <w:u w:val="none"/>
        </w:rPr>
        <w:t>实验室建设与设备管理处</w:t>
      </w:r>
      <w:r>
        <w:rPr>
          <w:rFonts w:hint="eastAsia"/>
          <w:u w:val="none"/>
        </w:rPr>
        <w:t>、公车使用部门要切实履行主体责任和监督责任，规范和加强公车的管理与使用。校纪委要强化监督责任，切实加强对</w:t>
      </w:r>
      <w:r>
        <w:rPr>
          <w:u w:val="none"/>
        </w:rPr>
        <w:t>实验室建设与设备管理处</w:t>
      </w:r>
      <w:r>
        <w:rPr>
          <w:rFonts w:hint="eastAsia"/>
          <w:u w:val="none"/>
        </w:rPr>
        <w:t>履职情况的监督检查。</w:t>
      </w:r>
    </w:p>
    <w:p>
      <w:pPr>
        <w:ind w:firstLine="640" w:firstLineChars="200"/>
        <w:rPr>
          <w:rFonts w:hint="eastAsia"/>
          <w:u w:val="none"/>
        </w:rPr>
      </w:pPr>
      <w:r>
        <w:rPr>
          <w:rFonts w:hint="eastAsia"/>
          <w:u w:val="none"/>
        </w:rPr>
        <w:t>2.  注重结果运用。通过专项督查，充分发挥职能部门的能动性，使各职能部门履行主体责任成为自觉；通过梳理职责，明确任务，形成纪委监督协调、部门主动履职联动协作的监督共管机制。</w:t>
      </w:r>
    </w:p>
    <w:p>
      <w:pPr>
        <w:ind w:firstLine="640" w:firstLineChars="200"/>
        <w:rPr>
          <w:rFonts w:hint="eastAsia"/>
          <w:u w:val="none"/>
        </w:rPr>
      </w:pPr>
      <w:r>
        <w:rPr>
          <w:rFonts w:hint="eastAsia"/>
          <w:u w:val="none"/>
        </w:rPr>
        <w:t>3.  加强问责追责。在公车管理与使用中，对履职工作抓的不紧、措施不力、成效不明显的，采取通报、诫勉方式进行问责，督促整改。对监督检查中发现的问题线索，校纪委要及时跟进督办、严肃查处，并根据问题情况进行问责追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56F7"/>
    <w:multiLevelType w:val="multilevel"/>
    <w:tmpl w:val="067556F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78E0949"/>
    <w:multiLevelType w:val="multilevel"/>
    <w:tmpl w:val="678E0949"/>
    <w:lvl w:ilvl="0" w:tentative="0">
      <w:start w:val="1"/>
      <w:numFmt w:val="japaneseCounting"/>
      <w:lvlText w:val="%1、"/>
      <w:lvlJc w:val="left"/>
      <w:pPr>
        <w:tabs>
          <w:tab w:val="left" w:pos="1380"/>
        </w:tabs>
        <w:ind w:left="1380" w:hanging="720"/>
      </w:pPr>
      <w:rPr>
        <w:rFonts w:hint="default"/>
      </w:rPr>
    </w:lvl>
    <w:lvl w:ilvl="1" w:tentative="0">
      <w:start w:val="1"/>
      <w:numFmt w:val="lowerLetter"/>
      <w:lvlText w:val="%2)"/>
      <w:lvlJc w:val="left"/>
      <w:pPr>
        <w:tabs>
          <w:tab w:val="left" w:pos="1500"/>
        </w:tabs>
        <w:ind w:left="1500" w:hanging="420"/>
      </w:pPr>
    </w:lvl>
    <w:lvl w:ilvl="2" w:tentative="0">
      <w:start w:val="1"/>
      <w:numFmt w:val="lowerRoman"/>
      <w:lvlText w:val="%3."/>
      <w:lvlJc w:val="right"/>
      <w:pPr>
        <w:tabs>
          <w:tab w:val="left" w:pos="1920"/>
        </w:tabs>
        <w:ind w:left="1920" w:hanging="420"/>
      </w:pPr>
    </w:lvl>
    <w:lvl w:ilvl="3" w:tentative="0">
      <w:start w:val="1"/>
      <w:numFmt w:val="decimal"/>
      <w:lvlText w:val="%4."/>
      <w:lvlJc w:val="left"/>
      <w:pPr>
        <w:tabs>
          <w:tab w:val="left" w:pos="2340"/>
        </w:tabs>
        <w:ind w:left="2340" w:hanging="420"/>
      </w:pPr>
    </w:lvl>
    <w:lvl w:ilvl="4" w:tentative="0">
      <w:start w:val="1"/>
      <w:numFmt w:val="lowerLetter"/>
      <w:lvlText w:val="%5)"/>
      <w:lvlJc w:val="left"/>
      <w:pPr>
        <w:tabs>
          <w:tab w:val="left" w:pos="2760"/>
        </w:tabs>
        <w:ind w:left="2760" w:hanging="420"/>
      </w:pPr>
    </w:lvl>
    <w:lvl w:ilvl="5" w:tentative="0">
      <w:start w:val="1"/>
      <w:numFmt w:val="lowerRoman"/>
      <w:lvlText w:val="%6."/>
      <w:lvlJc w:val="right"/>
      <w:pPr>
        <w:tabs>
          <w:tab w:val="left" w:pos="3180"/>
        </w:tabs>
        <w:ind w:left="3180" w:hanging="420"/>
      </w:pPr>
    </w:lvl>
    <w:lvl w:ilvl="6" w:tentative="0">
      <w:start w:val="1"/>
      <w:numFmt w:val="decimal"/>
      <w:lvlText w:val="%7."/>
      <w:lvlJc w:val="left"/>
      <w:pPr>
        <w:tabs>
          <w:tab w:val="left" w:pos="3600"/>
        </w:tabs>
        <w:ind w:left="3600" w:hanging="420"/>
      </w:pPr>
    </w:lvl>
    <w:lvl w:ilvl="7" w:tentative="0">
      <w:start w:val="1"/>
      <w:numFmt w:val="lowerLetter"/>
      <w:lvlText w:val="%8)"/>
      <w:lvlJc w:val="left"/>
      <w:pPr>
        <w:tabs>
          <w:tab w:val="left" w:pos="4020"/>
        </w:tabs>
        <w:ind w:left="4020" w:hanging="420"/>
      </w:pPr>
    </w:lvl>
    <w:lvl w:ilvl="8" w:tentative="0">
      <w:start w:val="1"/>
      <w:numFmt w:val="lowerRoman"/>
      <w:lvlText w:val="%9."/>
      <w:lvlJc w:val="right"/>
      <w:pPr>
        <w:tabs>
          <w:tab w:val="left" w:pos="4440"/>
        </w:tabs>
        <w:ind w:left="44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260E"/>
    <w:rsid w:val="00053267"/>
    <w:rsid w:val="000A60DC"/>
    <w:rsid w:val="000B6CC3"/>
    <w:rsid w:val="000C3E24"/>
    <w:rsid w:val="001E7ABC"/>
    <w:rsid w:val="004C25E1"/>
    <w:rsid w:val="004E265F"/>
    <w:rsid w:val="00525E96"/>
    <w:rsid w:val="00546373"/>
    <w:rsid w:val="005E2037"/>
    <w:rsid w:val="006202C4"/>
    <w:rsid w:val="00684816"/>
    <w:rsid w:val="006C1066"/>
    <w:rsid w:val="006F3E83"/>
    <w:rsid w:val="0070356E"/>
    <w:rsid w:val="0071046A"/>
    <w:rsid w:val="00723DA9"/>
    <w:rsid w:val="0076260E"/>
    <w:rsid w:val="007B043B"/>
    <w:rsid w:val="00801306"/>
    <w:rsid w:val="009010BB"/>
    <w:rsid w:val="00936589"/>
    <w:rsid w:val="00937EE7"/>
    <w:rsid w:val="00985E1F"/>
    <w:rsid w:val="009B4EB8"/>
    <w:rsid w:val="009C1490"/>
    <w:rsid w:val="00A47F77"/>
    <w:rsid w:val="00A62CF6"/>
    <w:rsid w:val="00AE546D"/>
    <w:rsid w:val="00B051A8"/>
    <w:rsid w:val="00B220C6"/>
    <w:rsid w:val="00B23427"/>
    <w:rsid w:val="00B5098A"/>
    <w:rsid w:val="00B73D51"/>
    <w:rsid w:val="00BA3104"/>
    <w:rsid w:val="00BC299A"/>
    <w:rsid w:val="00BD30ED"/>
    <w:rsid w:val="00C60813"/>
    <w:rsid w:val="00D173BF"/>
    <w:rsid w:val="00D33422"/>
    <w:rsid w:val="00D4742F"/>
    <w:rsid w:val="00D64AE6"/>
    <w:rsid w:val="00DC79F4"/>
    <w:rsid w:val="00DD1805"/>
    <w:rsid w:val="00E37E41"/>
    <w:rsid w:val="00E527F6"/>
    <w:rsid w:val="00ED5229"/>
    <w:rsid w:val="00ED65E4"/>
    <w:rsid w:val="00F96442"/>
    <w:rsid w:val="51B9509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snapToGrid w:val="0"/>
      <w:sz w:val="32"/>
      <w:szCs w:val="32"/>
      <w:u w:val="single"/>
      <w:lang w:val="en-US" w:eastAsia="zh-CN" w:bidi="ar-SA"/>
    </w:rPr>
  </w:style>
  <w:style w:type="character" w:default="1" w:styleId="7">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4"/>
    <w:qFormat/>
    <w:uiPriority w:val="0"/>
    <w:rPr>
      <w:b/>
      <w:bCs/>
    </w:rPr>
  </w:style>
  <w:style w:type="paragraph" w:styleId="3">
    <w:name w:val="annotation text"/>
    <w:basedOn w:val="1"/>
    <w:link w:val="13"/>
    <w:uiPriority w:val="0"/>
    <w:pPr>
      <w:jc w:val="left"/>
    </w:pPr>
  </w:style>
  <w:style w:type="paragraph" w:styleId="4">
    <w:name w:val="Balloon Text"/>
    <w:basedOn w:val="1"/>
    <w:link w:val="15"/>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22132D"/>
      <w:u w:val="none"/>
    </w:rPr>
  </w:style>
  <w:style w:type="character" w:styleId="9">
    <w:name w:val="annotation reference"/>
    <w:basedOn w:val="7"/>
    <w:qFormat/>
    <w:uiPriority w:val="0"/>
    <w:rPr>
      <w:sz w:val="21"/>
      <w:szCs w:val="21"/>
    </w:rPr>
  </w:style>
  <w:style w:type="character" w:customStyle="1" w:styleId="11">
    <w:name w:val="页眉 Char"/>
    <w:basedOn w:val="7"/>
    <w:link w:val="6"/>
    <w:uiPriority w:val="0"/>
    <w:rPr>
      <w:rFonts w:ascii="宋体" w:hAnsi="宋体"/>
      <w:snapToGrid w:val="0"/>
      <w:sz w:val="18"/>
      <w:szCs w:val="18"/>
      <w:u w:val="single"/>
    </w:rPr>
  </w:style>
  <w:style w:type="character" w:customStyle="1" w:styleId="12">
    <w:name w:val="页脚 Char"/>
    <w:basedOn w:val="7"/>
    <w:link w:val="5"/>
    <w:qFormat/>
    <w:uiPriority w:val="0"/>
    <w:rPr>
      <w:rFonts w:ascii="宋体" w:hAnsi="宋体"/>
      <w:snapToGrid w:val="0"/>
      <w:sz w:val="18"/>
      <w:szCs w:val="18"/>
      <w:u w:val="single"/>
    </w:rPr>
  </w:style>
  <w:style w:type="character" w:customStyle="1" w:styleId="13">
    <w:name w:val="批注文字 Char"/>
    <w:basedOn w:val="7"/>
    <w:link w:val="3"/>
    <w:qFormat/>
    <w:uiPriority w:val="0"/>
    <w:rPr>
      <w:rFonts w:ascii="宋体" w:hAnsi="宋体"/>
      <w:snapToGrid w:val="0"/>
      <w:sz w:val="32"/>
      <w:szCs w:val="32"/>
      <w:u w:val="single"/>
    </w:rPr>
  </w:style>
  <w:style w:type="character" w:customStyle="1" w:styleId="14">
    <w:name w:val="批注主题 Char"/>
    <w:basedOn w:val="13"/>
    <w:link w:val="2"/>
    <w:qFormat/>
    <w:uiPriority w:val="0"/>
    <w:rPr>
      <w:b/>
      <w:bCs/>
    </w:rPr>
  </w:style>
  <w:style w:type="character" w:customStyle="1" w:styleId="15">
    <w:name w:val="批注框文本 Char"/>
    <w:basedOn w:val="7"/>
    <w:link w:val="4"/>
    <w:qFormat/>
    <w:uiPriority w:val="0"/>
    <w:rPr>
      <w:rFonts w:ascii="宋体" w:hAnsi="宋体"/>
      <w:snapToGrid w:val="0"/>
      <w:sz w:val="18"/>
      <w:szCs w:val="18"/>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www.lenovo.com</Company>
  <Pages>3</Pages>
  <Words>185</Words>
  <Characters>1061</Characters>
  <Lines>8</Lines>
  <Paragraphs>2</Paragraphs>
  <ScaleCrop>false</ScaleCrop>
  <LinksUpToDate>false</LinksUpToDate>
  <CharactersWithSpaces>1244</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2016-10-28T07:32:00Z</dcterms:created>
  <dc:creator>User</dc:creator>
  <cp:lastModifiedBy>Administrator</cp:lastModifiedBy>
  <dcterms:modified xsi:type="dcterms:W3CDTF">2017-03-03T07:29:57Z</dcterms:modified>
  <dc:title>福州大学公车管理“1+X”工作方案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